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 </w:t>
      </w:r>
      <w:r w:rsidDel="00000000" w:rsidR="00000000" w:rsidRPr="00000000">
        <w:rPr>
          <w:rFonts w:ascii="Times" w:cs="Times" w:eastAsia="Times" w:hAnsi="Times"/>
          <w:sz w:val="24"/>
          <w:szCs w:val="24"/>
          <w:rtl w:val="0"/>
        </w:rPr>
        <w:t xml:space="preserve">Background Investigations</w:t>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5114</w:t>
      </w:r>
    </w:p>
    <w:p w:rsidR="00000000" w:rsidDel="00000000" w:rsidP="00000000" w:rsidRDefault="00000000" w:rsidRPr="00000000" w14:paraId="00000005">
      <w:pPr>
        <w:spacing w:before="240" w:line="288" w:lineRule="auto"/>
        <w:rPr>
          <w:rFonts w:ascii="Times" w:cs="Times" w:eastAsia="Times" w:hAnsi="Times"/>
          <w:sz w:val="24"/>
          <w:szCs w:val="24"/>
          <w:vertAlign w:val="superscript"/>
        </w:rPr>
      </w:pPr>
      <w:r w:rsidDel="00000000" w:rsidR="00000000" w:rsidRPr="00000000">
        <w:rPr>
          <w:rFonts w:ascii="Times" w:cs="Times" w:eastAsia="Times" w:hAnsi="Times"/>
          <w:sz w:val="24"/>
          <w:szCs w:val="24"/>
          <w:rtl w:val="0"/>
        </w:rPr>
        <w:t xml:space="preserve">Background checks shall be required for applicants, employees, contract workers, and volunteers.</w:t>
      </w:r>
      <w:r w:rsidDel="00000000" w:rsidR="00000000" w:rsidRPr="00000000">
        <w:rPr>
          <w:rtl w:val="0"/>
        </w:rPr>
      </w:r>
    </w:p>
    <w:p w:rsidR="00000000" w:rsidDel="00000000" w:rsidP="00000000" w:rsidRDefault="00000000" w:rsidRPr="00000000" w14:paraId="00000006">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Executive Director/designee shall develop any necessary corresponding procedures.</w:t>
      </w:r>
    </w:p>
    <w:p w:rsidR="00000000" w:rsidDel="00000000" w:rsidP="00000000" w:rsidRDefault="00000000" w:rsidRPr="00000000" w14:paraId="00000007">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APPLICANTS AND EMPLOYEES</w:t>
      </w:r>
    </w:p>
    <w:p w:rsidR="00000000" w:rsidDel="00000000" w:rsidP="00000000" w:rsidRDefault="00000000" w:rsidRPr="00000000" w14:paraId="00000008">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To ensure the safety and welfare of students and staff, the District shall require criminal history background checks and fingerprinting of applicants for teaching positions and any other positions that require proximity to children. Further, applicants who (1) have been identified by the Department of Children’s Services as perpetrators of child abuse, severe child abuse, child sexual abuse, or child neglect, or who pose an immediate threat to the health, safety, or welfare of children; or (2) who are listed on the state’s abuse of vulnerable persons registry maintained by the Department of Health shall not be employed. Any costs incurred to perform these background checks and fingerprinting shall be paid by the Board the first time such applicant applies for a position with the Board. If a successful applicant does not remain employed with the Board for a period of six (6) months, then the costs of the background check will be withheld from his/her last regular paycheck. All applicants shall be advised that all hiring decisions are contingent upon satisfactory background check results.</w:t>
      </w:r>
    </w:p>
    <w:p w:rsidR="00000000" w:rsidDel="00000000" w:rsidP="00000000" w:rsidRDefault="00000000" w:rsidRPr="00000000" w14:paraId="00000009">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Background checks shall be required of these employees at least once every five (5) years after the date of hire.</w:t>
      </w:r>
    </w:p>
    <w:p w:rsidR="00000000" w:rsidDel="00000000" w:rsidP="00000000" w:rsidRDefault="00000000" w:rsidRPr="00000000" w14:paraId="0000000A">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USE AND DISSEMINATION</w:t>
      </w:r>
    </w:p>
    <w:p w:rsidR="00000000" w:rsidDel="00000000" w:rsidP="00000000" w:rsidRDefault="00000000" w:rsidRPr="00000000" w14:paraId="0000000B">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Fingerprints or other approved forms of positive identification shall be submitted with all requests for criminal history record checks for non-criminal justice purposes.</w:t>
      </w:r>
      <w:r w:rsidDel="00000000" w:rsidR="00000000" w:rsidRPr="00000000">
        <w:rPr>
          <w:rFonts w:ascii="Times" w:cs="Times" w:eastAsia="Times" w:hAnsi="Times"/>
          <w:sz w:val="24"/>
          <w:szCs w:val="24"/>
          <w:vertAlign w:val="superscript"/>
          <w:rtl w:val="0"/>
        </w:rPr>
        <w:t xml:space="preserve"> </w:t>
      </w:r>
      <w:r w:rsidDel="00000000" w:rsidR="00000000" w:rsidRPr="00000000">
        <w:rPr>
          <w:rFonts w:ascii="Times" w:cs="Times" w:eastAsia="Times" w:hAnsi="Times"/>
          <w:sz w:val="24"/>
          <w:szCs w:val="24"/>
          <w:rtl w:val="0"/>
        </w:rPr>
        <w:t xml:space="preserve">The Executive Director shall ensure the Originating Agency Identifier number is on file at all times.</w:t>
      </w:r>
    </w:p>
    <w:p w:rsidR="00000000" w:rsidDel="00000000" w:rsidP="00000000" w:rsidRDefault="00000000" w:rsidRPr="00000000" w14:paraId="0000000C">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Tennessee and FBI Criminal History Record Information (“CHRI”) obtained by the district shall be solely used to verify criminal violation(s) and shall not be disseminated. Results shall be considered confidential and only accessible to district personnel identified by the Executive Director. CHRI shall only be accessed by authorized personnel in the performance of their duties and shall never be released to the public.</w:t>
      </w:r>
    </w:p>
    <w:p w:rsidR="00000000" w:rsidDel="00000000" w:rsidP="00000000" w:rsidRDefault="00000000" w:rsidRPr="00000000" w14:paraId="0000000D">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persons directly associated with the accessing, maintaining, processing, dissemination, or destruction of CHRI shall sign an awareness statement and shall indicate that they have been specially trained on the subject. The training shall provide those with access to CHRI with a working knowledge of federal and state regulations and laws governing the security and processing of criminal history information. The Executive Director is responsible for ensuring that authorized personnel receive such training within sixty (60) days of employment or job assignment and every three (3) years.</w:t>
      </w:r>
    </w:p>
    <w:p w:rsidR="00000000" w:rsidDel="00000000" w:rsidP="00000000" w:rsidRDefault="00000000" w:rsidRPr="00000000" w14:paraId="0000000E">
      <w:pPr>
        <w:spacing w:before="240" w:line="240"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F">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RETENTION AND SECURITY</w:t>
      </w:r>
    </w:p>
    <w:p w:rsidR="00000000" w:rsidDel="00000000" w:rsidP="00000000" w:rsidRDefault="00000000" w:rsidRPr="00000000" w14:paraId="00000010">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Executive Director shall develop procedures to ensure CHRI is stored in a secure location. Areas in which CHRI is processed and handled shall be restricted to authorized personnel identified by the Executive Director. The area shall be out of the view of the public and unauthorized personnel. The Executive Director shall maintain a list of all employees who have access to, can process, disseminate, and/or destroy CHRI.</w:t>
      </w:r>
    </w:p>
    <w:p w:rsidR="00000000" w:rsidDel="00000000" w:rsidP="00000000" w:rsidRDefault="00000000" w:rsidRPr="00000000" w14:paraId="00000011">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DISPOSAL OF CHRI</w:t>
      </w:r>
    </w:p>
    <w:p w:rsidR="00000000" w:rsidDel="00000000" w:rsidP="00000000" w:rsidRDefault="00000000" w:rsidRPr="00000000" w14:paraId="00000012">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When CHRI is no longer needed, it shall be destroyed by burning, shredding, or other methods rendering the information unreadable. Record destruction shall be conducted under the supervision of the Executive Director.</w:t>
      </w:r>
    </w:p>
    <w:p w:rsidR="00000000" w:rsidDel="00000000" w:rsidP="00000000" w:rsidRDefault="00000000" w:rsidRPr="00000000" w14:paraId="00000013">
      <w:pPr>
        <w:spacing w:before="240" w:line="240"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MISUSE</w:t>
      </w:r>
    </w:p>
    <w:p w:rsidR="00000000" w:rsidDel="00000000" w:rsidP="00000000" w:rsidRDefault="00000000" w:rsidRPr="00000000" w14:paraId="00000014">
      <w:pPr>
        <w:spacing w:before="240" w:line="240" w:lineRule="auto"/>
        <w:jc w:val="both"/>
        <w:rPr/>
      </w:pPr>
      <w:r w:rsidDel="00000000" w:rsidR="00000000" w:rsidRPr="00000000">
        <w:rPr>
          <w:rFonts w:ascii="Times New Roman" w:cs="Times New Roman" w:eastAsia="Times New Roman" w:hAnsi="Times New Roman"/>
          <w:sz w:val="24"/>
          <w:szCs w:val="24"/>
          <w:rtl w:val="0"/>
        </w:rPr>
        <w:t xml:space="preserve">Employees who misuse CHRI or violate this policy shall be subject to disciplinary action up to and including termination. Any employee with knowledge of misuse shall immediately report a violation to the Executive Director.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